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6A12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/>
          <w:sz w:val="44"/>
          <w:szCs w:val="44"/>
          <w:lang w:val="en-US" w:eastAsia="zh-CN"/>
        </w:rPr>
        <w:t>关于《江门市建筑业协会</w:t>
      </w:r>
      <w:r>
        <w:rPr>
          <w:rFonts w:hint="eastAsia" w:ascii="方正小标宋简体" w:hAnsi="方正小标宋简体" w:eastAsia="方正小标宋简体" w:cs="方正小标宋简体"/>
          <w:b/>
          <w:sz w:val="44"/>
          <w:szCs w:val="44"/>
        </w:rPr>
        <w:t>20</w:t>
      </w:r>
      <w:r>
        <w:rPr>
          <w:rFonts w:hint="eastAsia" w:ascii="方正小标宋简体" w:hAnsi="方正小标宋简体" w:eastAsia="方正小标宋简体" w:cs="方正小标宋简体"/>
          <w:b/>
          <w:sz w:val="44"/>
          <w:szCs w:val="44"/>
          <w:lang w:val="en-US" w:eastAsia="zh-CN"/>
        </w:rPr>
        <w:t>24</w:t>
      </w:r>
      <w:r>
        <w:rPr>
          <w:rFonts w:hint="eastAsia" w:ascii="方正小标宋简体" w:hAnsi="方正小标宋简体" w:eastAsia="方正小标宋简体" w:cs="方正小标宋简体"/>
          <w:b/>
          <w:sz w:val="44"/>
          <w:szCs w:val="44"/>
        </w:rPr>
        <w:t>年度财务</w:t>
      </w:r>
    </w:p>
    <w:p w14:paraId="3E23E4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微软雅黑" w:hAnsi="微软雅黑" w:eastAsia="微软雅黑" w:cs="微软雅黑"/>
          <w:b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/>
          <w:sz w:val="44"/>
          <w:szCs w:val="44"/>
          <w:lang w:eastAsia="zh-CN"/>
        </w:rPr>
        <w:t>工作</w:t>
      </w:r>
      <w:r>
        <w:rPr>
          <w:rFonts w:hint="eastAsia" w:ascii="方正小标宋简体" w:hAnsi="方正小标宋简体" w:eastAsia="方正小标宋简体" w:cs="方正小标宋简体"/>
          <w:b/>
          <w:sz w:val="44"/>
          <w:szCs w:val="44"/>
        </w:rPr>
        <w:t>报告</w:t>
      </w:r>
      <w:r>
        <w:rPr>
          <w:rFonts w:hint="eastAsia" w:ascii="方正小标宋简体" w:hAnsi="方正小标宋简体" w:eastAsia="方正小标宋简体" w:cs="方正小标宋简体"/>
          <w:b/>
          <w:sz w:val="44"/>
          <w:szCs w:val="44"/>
          <w:lang w:eastAsia="zh-CN"/>
        </w:rPr>
        <w:t>》的报告</w:t>
      </w:r>
    </w:p>
    <w:p w14:paraId="193652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jc w:val="center"/>
        <w:textAlignment w:val="auto"/>
        <w:rPr>
          <w:rFonts w:hint="eastAsia" w:ascii="微软雅黑" w:hAnsi="微软雅黑" w:eastAsia="微软雅黑" w:cs="微软雅黑"/>
          <w:b/>
          <w:sz w:val="44"/>
          <w:szCs w:val="44"/>
        </w:rPr>
      </w:pPr>
    </w:p>
    <w:p w14:paraId="16951E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 w:cs="仿宋"/>
          <w:color w:val="0000FF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各会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员单位</w:t>
      </w:r>
      <w:r>
        <w:rPr>
          <w:rFonts w:hint="eastAsia" w:ascii="仿宋" w:hAnsi="仿宋" w:eastAsia="仿宋" w:cs="仿宋"/>
          <w:sz w:val="32"/>
          <w:szCs w:val="32"/>
        </w:rPr>
        <w:t>：</w:t>
      </w:r>
    </w:p>
    <w:p w14:paraId="274E56AF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20" w:firstLineChars="200"/>
        <w:jc w:val="left"/>
        <w:textAlignment w:val="auto"/>
        <w:rPr>
          <w:rFonts w:hint="eastAsia" w:ascii="仿宋" w:hAnsi="仿宋" w:eastAsia="仿宋" w:cs="仿宋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一年来，协会</w:t>
      </w: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进一步健全和完善</w:t>
      </w:r>
      <w:r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了</w:t>
      </w: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各项财务规章制度，使财务工作的规范管理上了一个新的台阶。</w:t>
      </w:r>
      <w:r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现将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2024年度</w:t>
      </w:r>
      <w:r>
        <w:rPr>
          <w:rFonts w:hint="eastAsia" w:ascii="仿宋" w:hAnsi="仿宋" w:eastAsia="仿宋" w:cs="仿宋"/>
          <w:sz w:val="32"/>
          <w:szCs w:val="32"/>
        </w:rPr>
        <w:t>财务工作报告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提交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eastAsia="zh-CN"/>
        </w:rPr>
        <w:t>第六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届</w:t>
      </w:r>
      <w:r>
        <w:rPr>
          <w:rFonts w:hint="eastAsia" w:ascii="仿宋" w:hAnsi="仿宋" w:eastAsia="仿宋"/>
          <w:sz w:val="32"/>
          <w:szCs w:val="32"/>
        </w:rPr>
        <w:t>二次会员大会暨六届三次理事会</w:t>
      </w:r>
      <w:r>
        <w:rPr>
          <w:rFonts w:hint="eastAsia" w:ascii="仿宋" w:hAnsi="仿宋" w:eastAsia="仿宋" w:cs="仿宋"/>
          <w:sz w:val="32"/>
          <w:szCs w:val="32"/>
        </w:rPr>
        <w:t>，请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予</w:t>
      </w:r>
      <w:r>
        <w:rPr>
          <w:rFonts w:hint="eastAsia" w:ascii="仿宋" w:hAnsi="仿宋" w:eastAsia="仿宋" w:cs="仿宋"/>
          <w:sz w:val="32"/>
          <w:szCs w:val="32"/>
        </w:rPr>
        <w:t>审议。</w:t>
      </w:r>
      <w:r>
        <w:rPr>
          <w:rFonts w:hint="eastAsia" w:ascii="仿宋" w:hAnsi="仿宋" w:eastAsia="仿宋" w:cs="仿宋"/>
          <w:i w:val="0"/>
          <w:iCs w:val="0"/>
          <w:caps w:val="0"/>
          <w:color w:val="212529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 </w:t>
      </w:r>
    </w:p>
    <w:p w14:paraId="718CE6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 xml:space="preserve">    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一、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收入情况</w:t>
      </w:r>
    </w:p>
    <w:p w14:paraId="5CF600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2024年1月-10月累计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总收入：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3,685,311.48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元。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具体为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：</w:t>
      </w:r>
    </w:p>
    <w:p w14:paraId="55072F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1、会费收入：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2,309,000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元；</w:t>
      </w:r>
    </w:p>
    <w:p w14:paraId="6F406B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、特种作业人员培训收入：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858,547.29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元；</w:t>
      </w:r>
    </w:p>
    <w:p w14:paraId="4B429B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、政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府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服务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及其他服务收入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：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435,172.29元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；</w:t>
      </w:r>
    </w:p>
    <w:p w14:paraId="641A70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、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其他收入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：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82,591.90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元（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包含利息收入、税费政策优惠与其他返还、资产处置收入）。</w:t>
      </w:r>
    </w:p>
    <w:p w14:paraId="26ED8C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二、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  <w:t>费用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支出情况</w:t>
      </w:r>
    </w:p>
    <w:p w14:paraId="37360C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2024年1月-10月累计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总支出：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3,388,953.71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元。其中：</w:t>
      </w:r>
    </w:p>
    <w:p w14:paraId="44741F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1、员工工资及福利费等支出：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2,023,366.68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元；（含工资、社保、公积金、交通电话补贴、节日补贴等）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；</w:t>
      </w:r>
    </w:p>
    <w:p w14:paraId="146C29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、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日常业务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支出：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723,941.12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元；（包含培训资料及课件制作费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、专家劳务费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、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培训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师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资及劳务税费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、教材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费用、机械租赁费、培训用品及设施费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等）；</w:t>
      </w:r>
    </w:p>
    <w:p w14:paraId="1284B0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、特种作业人员培训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基地升级改造及电考室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费用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分摊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：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86,321.50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元；</w:t>
      </w:r>
    </w:p>
    <w:p w14:paraId="3FA262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、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管理及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办公费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用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支出：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396,026.38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元；（包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含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办公场地租金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水电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、电话、网络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、办公用品、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会议费用、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业务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费用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、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资料制作费、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车辆费用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等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）；</w:t>
      </w:r>
    </w:p>
    <w:p w14:paraId="22E0E5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、固定资产折旧费：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113,620.96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元；</w:t>
      </w:r>
    </w:p>
    <w:p w14:paraId="38D408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、税金：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19,347.07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元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；</w:t>
      </w:r>
    </w:p>
    <w:p w14:paraId="6FC7FD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7、其他费用：26,330元（包含捐赠支出、春节摆花布景支出、其他支出等）。</w:t>
      </w:r>
    </w:p>
    <w:p w14:paraId="5A9A4D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  <w:t>三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、</w:t>
      </w:r>
      <w:r>
        <w:rPr>
          <w:rFonts w:hint="eastAsia" w:ascii="黑体" w:hAnsi="黑体" w:eastAsia="黑体" w:cs="黑体"/>
          <w:sz w:val="32"/>
          <w:szCs w:val="32"/>
        </w:rPr>
        <w:t>净资产变动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情况</w:t>
      </w:r>
    </w:p>
    <w:p w14:paraId="5A9706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截至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2024年10月末协会净资产变动额为296,357.77元。</w:t>
      </w:r>
    </w:p>
    <w:p w14:paraId="3B88F0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</w:p>
    <w:p w14:paraId="4A410B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</w:p>
    <w:p w14:paraId="1C7106AD">
      <w:pPr>
        <w:spacing w:line="360" w:lineRule="auto"/>
        <w:ind w:firstLine="640" w:firstLineChars="200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 xml:space="preserve">            </w:t>
      </w:r>
    </w:p>
    <w:p w14:paraId="45BC7225">
      <w:pPr>
        <w:spacing w:line="360" w:lineRule="auto"/>
        <w:ind w:firstLine="640" w:firstLineChars="200"/>
        <w:rPr>
          <w:rFonts w:hint="eastAsia" w:ascii="仿宋" w:hAnsi="仿宋" w:eastAsia="仿宋" w:cs="仿宋"/>
          <w:b w:val="0"/>
          <w:bCs w:val="0"/>
          <w:color w:val="0000FF"/>
          <w:sz w:val="32"/>
          <w:szCs w:val="32"/>
          <w:lang w:val="en-US" w:eastAsia="zh-CN"/>
        </w:rPr>
      </w:pPr>
    </w:p>
    <w:p w14:paraId="42A7B7C1">
      <w:pPr>
        <w:spacing w:line="360" w:lineRule="auto"/>
        <w:rPr>
          <w:rFonts w:hint="default" w:ascii="仿宋" w:hAnsi="仿宋" w:eastAsia="仿宋" w:cs="仿宋"/>
          <w:b w:val="0"/>
          <w:bCs w:val="0"/>
          <w:sz w:val="32"/>
          <w:szCs w:val="32"/>
          <w:lang w:val="en-US" w:eastAsia="zh-CN"/>
        </w:rPr>
      </w:pPr>
    </w:p>
    <w:sectPr>
      <w:headerReference r:id="rId5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701" w:right="1587" w:bottom="1417" w:left="1474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6D0BCA7B-156C-4364-9178-492A8C270D32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B8CEFAEB-0685-43F2-BAB8-8C3C269917BD}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  <w:embedRegular r:id="rId3" w:fontKey="{250056C9-C038-40EA-AC81-62FE917B2A73}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  <w:embedRegular r:id="rId4" w:fontKey="{3B5585FA-53D2-4BE9-B9BF-488C11B460C8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F47DBDC">
    <w:pPr>
      <w:pStyle w:val="4"/>
    </w:pPr>
    <w:r>
      <w:rPr>
        <w:sz w:val="18"/>
      </w:rP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097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txbx>
                      <w:txbxContent>
                        <w:p w14:paraId="3F94DD36">
                          <w:pPr>
                            <w:pStyle w:val="4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vert="horz" wrap="none" lIns="0" tIns="0" rIns="0" bIns="0" anchor="t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文本框 1" o:spid="_x0000_s1026" o:spt="1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C5dblS0AAAAAUBAAAPAAAAAAAAAAEAIAAAACIAAABkcnMv&#10;ZG93bnJldi54bWxQSwECFAAUAAAACACHTuJATJJX/tIBAACeAwAADgAAAAAAAAABACAAAAAfAQAA&#10;ZHJzL2Uyb0RvYy54bWxQSwUGAAAAAAYABgBZAQAAYw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3F94DD36">
                    <w:pPr>
                      <w:pStyle w:val="4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80D6DD"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43502B9">
    <w:pPr>
      <w:pStyle w:val="5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D443AC">
    <w:pPr>
      <w:pStyle w:val="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616A4C">
    <w:pPr>
      <w:pStyle w:val="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5"/>
  <w:embedTrueTypeFonts/>
  <w:saveSubset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jb3VudCI6MTQsImhkaWQiOiJkYzVjYmUyMjNmZGI5YWYzNWE3N2U4ZmY1MjhjZDk2NSIsInVzZXJDb3VudCI6MTR9"/>
  </w:docVars>
  <w:rsids>
    <w:rsidRoot w:val="00000000"/>
    <w:rsid w:val="04F9635F"/>
    <w:rsid w:val="05925065"/>
    <w:rsid w:val="05D15877"/>
    <w:rsid w:val="094C4663"/>
    <w:rsid w:val="0B84338B"/>
    <w:rsid w:val="0C484578"/>
    <w:rsid w:val="11471E9F"/>
    <w:rsid w:val="11EB50FA"/>
    <w:rsid w:val="122949D4"/>
    <w:rsid w:val="12F969A7"/>
    <w:rsid w:val="18B76B4E"/>
    <w:rsid w:val="2281285A"/>
    <w:rsid w:val="22C66C3F"/>
    <w:rsid w:val="23AA7590"/>
    <w:rsid w:val="23D22A8E"/>
    <w:rsid w:val="25F5515A"/>
    <w:rsid w:val="2A97233B"/>
    <w:rsid w:val="2BBA5880"/>
    <w:rsid w:val="30B009C8"/>
    <w:rsid w:val="30BF439A"/>
    <w:rsid w:val="323745C1"/>
    <w:rsid w:val="36D05553"/>
    <w:rsid w:val="371A0840"/>
    <w:rsid w:val="3ABE1B66"/>
    <w:rsid w:val="3C3245BA"/>
    <w:rsid w:val="3C3665DF"/>
    <w:rsid w:val="3DA11732"/>
    <w:rsid w:val="3DC311DC"/>
    <w:rsid w:val="40610FCA"/>
    <w:rsid w:val="43781DE2"/>
    <w:rsid w:val="44006D4C"/>
    <w:rsid w:val="48D965DC"/>
    <w:rsid w:val="4C1D63D1"/>
    <w:rsid w:val="4D6E5660"/>
    <w:rsid w:val="4ECC264C"/>
    <w:rsid w:val="4F043B94"/>
    <w:rsid w:val="4FCB2904"/>
    <w:rsid w:val="5A0310B7"/>
    <w:rsid w:val="5B5C08B4"/>
    <w:rsid w:val="5B74243D"/>
    <w:rsid w:val="5B987B91"/>
    <w:rsid w:val="5BA109BC"/>
    <w:rsid w:val="5D0B35B7"/>
    <w:rsid w:val="5F50072F"/>
    <w:rsid w:val="5F8403D9"/>
    <w:rsid w:val="60A01243"/>
    <w:rsid w:val="629C7631"/>
    <w:rsid w:val="6ACB7804"/>
    <w:rsid w:val="6BF54B38"/>
    <w:rsid w:val="6C060AF4"/>
    <w:rsid w:val="6E0C6169"/>
    <w:rsid w:val="6E737F96"/>
    <w:rsid w:val="6E7D5AAC"/>
    <w:rsid w:val="6ED44ED9"/>
    <w:rsid w:val="7125222D"/>
    <w:rsid w:val="758962F1"/>
    <w:rsid w:val="79984207"/>
    <w:rsid w:val="7D40373A"/>
    <w:rsid w:val="7E0D7E38"/>
    <w:rsid w:val="7FF802F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24"/>
    </w:rPr>
  </w:style>
  <w:style w:type="character" w:default="1" w:styleId="8">
    <w:name w:val="Default Paragraph Font"/>
    <w:qFormat/>
    <w:uiPriority w:val="0"/>
  </w:style>
  <w:style w:type="table" w:default="1" w:styleId="7">
    <w:name w:val="Normal Table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9">
    <w:name w:val="Hyperlink"/>
    <w:qFormat/>
    <w:uiPriority w:val="0"/>
    <w:rPr>
      <w:color w:val="50505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&#33521;\AppData\Roaming\Tencent\WeChat\XPlugin\Plugins\WeChatUpdate\5056\extracted\file:\C:\Users\Administrator\AppData\Roaming\kingsoft\office6\templates\download\6b42e783-c5ed-4c16-a90e-27803ed1a17e\2016&#24180;&#24230;&#36130;&#21153;&#25253;&#21578;&#20998;&#26512;&#25253;&#21578;&#27169;&#26495;.doc.doc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2016年度财务报告分析报告模板.doc.docx</Template>
  <Pages>2</Pages>
  <Words>519</Words>
  <Characters>663</Characters>
  <Paragraphs>53</Paragraphs>
  <TotalTime>4</TotalTime>
  <ScaleCrop>false</ScaleCrop>
  <LinksUpToDate>false</LinksUpToDate>
  <CharactersWithSpaces>695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2022-10-22T04:20:00Z</dcterms:created>
  <dc:creator>Administrator</dc:creator>
  <cp:lastModifiedBy>Administrator</cp:lastModifiedBy>
  <cp:lastPrinted>2024-11-28T04:57:00Z</cp:lastPrinted>
  <dcterms:modified xsi:type="dcterms:W3CDTF">2024-12-09T01:21:57Z</dcterms:modified>
  <dc:title>黑龙江省大正赛富投资管理有限公司2011年度财务情况说明书</dc:title>
  <cp:revision>116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KSOTemplateUUID">
    <vt:lpwstr>v1.0_library_fLMsgN2Pc3NN7tnL404HWg==</vt:lpwstr>
  </property>
  <property fmtid="{D5CDD505-2E9C-101B-9397-08002B2CF9AE}" pid="4" name="ICV">
    <vt:lpwstr>B7B7E0113F314131AFB0C381D738ABAD_13</vt:lpwstr>
  </property>
</Properties>
</file>